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1C" w:rsidRPr="0020071C" w:rsidRDefault="0020071C" w:rsidP="00200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0071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20071C" w:rsidRDefault="0020071C" w:rsidP="00200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2024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="009C76D6">
        <w:rPr>
          <w:rFonts w:ascii="Times New Roman" w:hAnsi="Times New Roman" w:cs="Times New Roman"/>
          <w:sz w:val="24"/>
          <w:szCs w:val="24"/>
        </w:rPr>
        <w:t>21.05.2024 № 339</w:t>
      </w:r>
      <w:r w:rsidRPr="007A7350">
        <w:rPr>
          <w:rFonts w:ascii="Times New Roman" w:hAnsi="Times New Roman" w:cs="Times New Roman"/>
          <w:sz w:val="24"/>
          <w:szCs w:val="24"/>
        </w:rPr>
        <w:t xml:space="preserve">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AEC">
        <w:rPr>
          <w:rFonts w:ascii="Times New Roman" w:hAnsi="Times New Roman" w:cs="Times New Roman"/>
          <w:b/>
          <w:sz w:val="24"/>
          <w:szCs w:val="24"/>
        </w:rPr>
        <w:t>палатка;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9C76D6">
        <w:rPr>
          <w:rFonts w:ascii="Times New Roman" w:hAnsi="Times New Roman" w:cs="Times New Roman"/>
          <w:b/>
          <w:sz w:val="24"/>
          <w:szCs w:val="24"/>
        </w:rPr>
        <w:t>_______</w:t>
      </w:r>
      <w:r w:rsidR="00F6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кв. м;</w:t>
      </w:r>
    </w:p>
    <w:p w:rsid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</w:t>
      </w:r>
      <w:r w:rsidR="00325AEC">
        <w:rPr>
          <w:rFonts w:ascii="Times New Roman" w:hAnsi="Times New Roman" w:cs="Times New Roman"/>
          <w:sz w:val="24"/>
          <w:szCs w:val="24"/>
        </w:rPr>
        <w:t>кой Думы от 16.10.2014 № 368.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325AEC">
        <w:rPr>
          <w:rFonts w:ascii="Times New Roman" w:hAnsi="Times New Roman" w:cs="Times New Roman"/>
          <w:b/>
          <w:sz w:val="24"/>
          <w:szCs w:val="24"/>
        </w:rPr>
        <w:t>живые цветы</w:t>
      </w:r>
      <w:r w:rsidR="009C76D6" w:rsidRPr="00250F34">
        <w:rPr>
          <w:rFonts w:ascii="Times New Roman" w:hAnsi="Times New Roman" w:cs="Times New Roman"/>
          <w:b/>
          <w:sz w:val="24"/>
          <w:szCs w:val="24"/>
        </w:rPr>
        <w:t>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325AEC">
        <w:rPr>
          <w:rFonts w:ascii="Times New Roman" w:hAnsi="Times New Roman" w:cs="Times New Roman"/>
          <w:b/>
          <w:sz w:val="24"/>
          <w:szCs w:val="24"/>
        </w:rPr>
        <w:t>живые цветы в ассортименте</w:t>
      </w:r>
      <w:r w:rsidR="00325AEC"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325AEC">
        <w:rPr>
          <w:rFonts w:ascii="Times New Roman" w:hAnsi="Times New Roman" w:cs="Times New Roman"/>
          <w:b/>
          <w:sz w:val="24"/>
          <w:szCs w:val="24"/>
        </w:rPr>
        <w:t>04.03.2025</w:t>
      </w:r>
      <w:r w:rsidR="008C5995" w:rsidRPr="009C76D6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lastRenderedPageBreak/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190B69">
        <w:rPr>
          <w:rFonts w:ascii="Times New Roman" w:hAnsi="Times New Roman" w:cs="Times New Roman"/>
          <w:b/>
          <w:sz w:val="24"/>
          <w:szCs w:val="24"/>
        </w:rPr>
        <w:t>04.03.2025 по 08.03.2025.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190B69" w:rsidRPr="00D84C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Pr="007A7350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D778E6" w:rsidRPr="007A7350" w:rsidSect="00D778E6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021D1D"/>
    <w:rsid w:val="00190B69"/>
    <w:rsid w:val="0020071C"/>
    <w:rsid w:val="00325AEC"/>
    <w:rsid w:val="004160BA"/>
    <w:rsid w:val="0042108A"/>
    <w:rsid w:val="006F1D27"/>
    <w:rsid w:val="007039B6"/>
    <w:rsid w:val="00772C3D"/>
    <w:rsid w:val="007A7350"/>
    <w:rsid w:val="007C6E32"/>
    <w:rsid w:val="008C5995"/>
    <w:rsid w:val="0090260C"/>
    <w:rsid w:val="009C76D6"/>
    <w:rsid w:val="00B0049D"/>
    <w:rsid w:val="00BE5074"/>
    <w:rsid w:val="00CE3F30"/>
    <w:rsid w:val="00D459FB"/>
    <w:rsid w:val="00D778E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49C9B-B93A-45D0-8422-A2678A64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E5D9-617C-4940-A9FE-23982F1A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Бурова Наталья Александровна</cp:lastModifiedBy>
  <cp:revision>8</cp:revision>
  <cp:lastPrinted>2024-12-18T13:19:00Z</cp:lastPrinted>
  <dcterms:created xsi:type="dcterms:W3CDTF">2024-09-26T09:42:00Z</dcterms:created>
  <dcterms:modified xsi:type="dcterms:W3CDTF">2024-12-25T11:12:00Z</dcterms:modified>
</cp:coreProperties>
</file>